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C0" w:rsidRPr="00B111C0" w:rsidRDefault="00B111C0" w:rsidP="00B111C0">
      <w:pPr>
        <w:spacing w:after="0" w:line="240" w:lineRule="auto"/>
        <w:ind w:left="9498" w:right="14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Додаток </w:t>
      </w:r>
      <w:r w:rsidR="00E171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</w:p>
    <w:p w:rsidR="00B111C0" w:rsidRPr="00B111C0" w:rsidRDefault="00B111C0" w:rsidP="00B111C0">
      <w:pPr>
        <w:spacing w:after="0" w:line="240" w:lineRule="auto"/>
        <w:ind w:left="9498" w:right="-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</w:t>
      </w:r>
      <w:r w:rsidRPr="00B111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нтикорупційної програми </w:t>
      </w:r>
      <w:r w:rsidRPr="00B111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Державної служби фінансового моніторингу України</w:t>
      </w:r>
    </w:p>
    <w:p w:rsidR="00B111C0" w:rsidRPr="00B111C0" w:rsidRDefault="00B111C0" w:rsidP="00B111C0">
      <w:pPr>
        <w:spacing w:after="0" w:line="240" w:lineRule="auto"/>
        <w:ind w:left="9498" w:right="14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111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 2024 - 2025 роки  </w:t>
      </w:r>
    </w:p>
    <w:p w:rsidR="00735BC3" w:rsidRDefault="00735BC3" w:rsidP="0073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735BC3" w:rsidRDefault="00735BC3" w:rsidP="00735BC3">
      <w:pPr>
        <w:spacing w:after="0" w:line="240" w:lineRule="auto"/>
        <w:ind w:right="-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  <w:r w:rsidRPr="00735BC3"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t xml:space="preserve">ЗАХОДИ </w:t>
      </w:r>
      <w:r w:rsidRPr="00735BC3"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br/>
        <w:t xml:space="preserve">з виконання Державної антикорупційної програми на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t>2024</w:t>
      </w:r>
      <w:r w:rsidRPr="00735BC3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uk-UA" w:bidi="uk-UA"/>
        </w:rPr>
        <w:t>-</w:t>
      </w:r>
      <w:r w:rsidRPr="00735BC3"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t>2025 роки</w:t>
      </w:r>
    </w:p>
    <w:p w:rsidR="000D5DE9" w:rsidRPr="00735BC3" w:rsidRDefault="000D5DE9" w:rsidP="00735BC3">
      <w:pPr>
        <w:spacing w:after="0" w:line="240" w:lineRule="auto"/>
        <w:ind w:right="-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276"/>
        <w:gridCol w:w="1843"/>
        <w:gridCol w:w="1806"/>
        <w:gridCol w:w="1417"/>
        <w:gridCol w:w="30"/>
        <w:gridCol w:w="1904"/>
        <w:gridCol w:w="50"/>
        <w:gridCol w:w="2447"/>
      </w:tblGrid>
      <w:tr w:rsidR="00016E41" w:rsidRPr="00735BC3" w:rsidTr="001A06A5">
        <w:trPr>
          <w:trHeight w:val="479"/>
          <w:tblHeader/>
        </w:trPr>
        <w:tc>
          <w:tcPr>
            <w:tcW w:w="3397" w:type="dxa"/>
            <w:vMerge w:val="restart"/>
            <w:vAlign w:val="center"/>
            <w:hideMark/>
          </w:tcPr>
          <w:p w:rsidR="00016E41" w:rsidRPr="00735BC3" w:rsidRDefault="00016E41" w:rsidP="00735BC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</w:pPr>
            <w:r w:rsidRPr="00735BC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  <w:t>Найменування та зміст заходу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016E41" w:rsidRPr="00735BC3" w:rsidRDefault="00016E41" w:rsidP="00016E41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</w:pPr>
            <w:r w:rsidRPr="00735BC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  <w:t>Строки виконання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6E41" w:rsidRPr="00735BC3" w:rsidRDefault="00016E41" w:rsidP="00016E41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806" w:type="dxa"/>
            <w:vMerge w:val="restart"/>
            <w:vAlign w:val="center"/>
            <w:hideMark/>
          </w:tcPr>
          <w:p w:rsidR="00016E41" w:rsidRDefault="00016E41" w:rsidP="00735BC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</w:pPr>
            <w:r w:rsidRPr="00735BC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  <w:t>Виконавці</w:t>
            </w:r>
          </w:p>
          <w:p w:rsidR="00016E41" w:rsidRPr="00F2679A" w:rsidRDefault="00016E41" w:rsidP="00735BC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Держфінмоніторингу</w:t>
            </w:r>
          </w:p>
        </w:tc>
        <w:tc>
          <w:tcPr>
            <w:tcW w:w="3351" w:type="dxa"/>
            <w:gridSpan w:val="3"/>
            <w:vAlign w:val="center"/>
            <w:hideMark/>
          </w:tcPr>
          <w:p w:rsidR="00016E41" w:rsidRPr="00735BC3" w:rsidRDefault="00016E41" w:rsidP="00735BC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</w:pPr>
            <w:r w:rsidRPr="00735BC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  <w:t>Фінансові ресурси</w:t>
            </w:r>
          </w:p>
        </w:tc>
        <w:tc>
          <w:tcPr>
            <w:tcW w:w="2497" w:type="dxa"/>
            <w:gridSpan w:val="2"/>
            <w:vMerge w:val="restart"/>
            <w:vAlign w:val="center"/>
            <w:hideMark/>
          </w:tcPr>
          <w:p w:rsidR="00016E41" w:rsidRPr="004D0270" w:rsidRDefault="00016E41" w:rsidP="00735BC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Загальний </w:t>
            </w:r>
            <w:r w:rsidRPr="004D02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/>
              </w:rPr>
              <w:t>показник (індикатор) виконання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згідно ДАП</w:t>
            </w:r>
          </w:p>
        </w:tc>
      </w:tr>
      <w:tr w:rsidR="00016E41" w:rsidRPr="00735BC3" w:rsidTr="001A06A5">
        <w:trPr>
          <w:trHeight w:val="473"/>
          <w:tblHeader/>
        </w:trPr>
        <w:tc>
          <w:tcPr>
            <w:tcW w:w="3397" w:type="dxa"/>
            <w:vMerge/>
            <w:vAlign w:val="center"/>
            <w:hideMark/>
          </w:tcPr>
          <w:p w:rsidR="00016E41" w:rsidRPr="004D0270" w:rsidRDefault="00016E41" w:rsidP="00735B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  <w:hideMark/>
          </w:tcPr>
          <w:p w:rsidR="00016E41" w:rsidRPr="00735BC3" w:rsidRDefault="00016E41" w:rsidP="00735BC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</w:pPr>
            <w:r w:rsidRPr="00735BC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  <w:t>дата початку</w:t>
            </w:r>
          </w:p>
        </w:tc>
        <w:tc>
          <w:tcPr>
            <w:tcW w:w="1276" w:type="dxa"/>
            <w:vAlign w:val="center"/>
            <w:hideMark/>
          </w:tcPr>
          <w:p w:rsidR="00016E41" w:rsidRPr="00735BC3" w:rsidRDefault="00016E41" w:rsidP="00735BC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</w:pPr>
            <w:r w:rsidRPr="00735BC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  <w:t>дата завершення</w:t>
            </w:r>
          </w:p>
        </w:tc>
        <w:tc>
          <w:tcPr>
            <w:tcW w:w="1843" w:type="dxa"/>
            <w:tcBorders>
              <w:top w:val="nil"/>
            </w:tcBorders>
          </w:tcPr>
          <w:p w:rsidR="00016E41" w:rsidRPr="00016E41" w:rsidRDefault="00016E41" w:rsidP="00E02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Виконавці згідно ДАП</w:t>
            </w:r>
          </w:p>
        </w:tc>
        <w:tc>
          <w:tcPr>
            <w:tcW w:w="1806" w:type="dxa"/>
            <w:vMerge/>
            <w:vAlign w:val="center"/>
            <w:hideMark/>
          </w:tcPr>
          <w:p w:rsidR="00016E41" w:rsidRPr="00735BC3" w:rsidRDefault="00016E41" w:rsidP="00735B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47" w:type="dxa"/>
            <w:gridSpan w:val="2"/>
            <w:vAlign w:val="center"/>
            <w:hideMark/>
          </w:tcPr>
          <w:p w:rsidR="00016E41" w:rsidRPr="00735BC3" w:rsidRDefault="00016E41" w:rsidP="00735BC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</w:pPr>
            <w:r w:rsidRPr="00735BC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  <w:t>джерела фінансування</w:t>
            </w:r>
          </w:p>
        </w:tc>
        <w:tc>
          <w:tcPr>
            <w:tcW w:w="1904" w:type="dxa"/>
            <w:vAlign w:val="center"/>
            <w:hideMark/>
          </w:tcPr>
          <w:p w:rsidR="00016E41" w:rsidRPr="00735BC3" w:rsidRDefault="00016E41" w:rsidP="00735BC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</w:pPr>
            <w:r w:rsidRPr="00735BC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  <w:t>обсяги фінансування,</w:t>
            </w:r>
          </w:p>
          <w:p w:rsidR="00016E41" w:rsidRPr="00735BC3" w:rsidRDefault="00016E41" w:rsidP="00735BC3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</w:pPr>
            <w:r w:rsidRPr="00735BC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AU"/>
              </w:rPr>
              <w:t>тис. гривень</w:t>
            </w:r>
          </w:p>
        </w:tc>
        <w:tc>
          <w:tcPr>
            <w:tcW w:w="2497" w:type="dxa"/>
            <w:gridSpan w:val="2"/>
            <w:vMerge/>
            <w:vAlign w:val="center"/>
            <w:hideMark/>
          </w:tcPr>
          <w:p w:rsidR="00016E41" w:rsidRPr="00735BC3" w:rsidRDefault="00016E41" w:rsidP="00735BC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AU"/>
              </w:rPr>
            </w:pPr>
          </w:p>
        </w:tc>
      </w:tr>
      <w:tr w:rsidR="00016E41" w:rsidRPr="009F18FB" w:rsidTr="00016E41">
        <w:trPr>
          <w:trHeight w:val="230"/>
        </w:trPr>
        <w:tc>
          <w:tcPr>
            <w:tcW w:w="15304" w:type="dxa"/>
            <w:gridSpan w:val="10"/>
          </w:tcPr>
          <w:p w:rsidR="00016E41" w:rsidRPr="009F18FB" w:rsidRDefault="00016E41" w:rsidP="009F18FB">
            <w:pPr>
              <w:spacing w:before="24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Очікуваний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стратегічний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 xml:space="preserve"> результат 3.3.2.5. </w:t>
            </w: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Налагоджено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ефективну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взаємодію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між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Національним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антикорупційним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 xml:space="preserve"> бюро, </w:t>
            </w: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Спеціалізованою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антикорупційною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 xml:space="preserve"> прокуратурою та </w:t>
            </w: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іншими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державними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 xml:space="preserve"> органами (</w:t>
            </w: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насамперед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 xml:space="preserve">, органами </w:t>
            </w: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досудового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розслідування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 xml:space="preserve">, органами </w:t>
            </w: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прокуратури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Національним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 xml:space="preserve"> агентством, АРМА, </w:t>
            </w:r>
            <w:proofErr w:type="spellStart"/>
            <w:r w:rsidRPr="009F18FB">
              <w:rPr>
                <w:rFonts w:ascii="Times New Roman" w:hAnsi="Times New Roman" w:cs="Times New Roman"/>
                <w:b/>
                <w:lang w:val="ru-RU"/>
              </w:rPr>
              <w:t>Держфінмоніторингом</w:t>
            </w:r>
            <w:proofErr w:type="spellEnd"/>
            <w:r w:rsidRPr="009F18FB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016E41" w:rsidRPr="009F18FB" w:rsidTr="001A06A5">
        <w:trPr>
          <w:trHeight w:val="230"/>
        </w:trPr>
        <w:tc>
          <w:tcPr>
            <w:tcW w:w="3397" w:type="dxa"/>
            <w:hideMark/>
          </w:tcPr>
          <w:p w:rsidR="00016E41" w:rsidRPr="00E17136" w:rsidRDefault="00016E41" w:rsidP="00735BC3">
            <w:pPr>
              <w:spacing w:after="0"/>
              <w:rPr>
                <w:rFonts w:ascii="Times New Roman" w:hAnsi="Times New Roman" w:cs="Times New Roman"/>
                <w:lang w:bidi="uk-UA"/>
              </w:rPr>
            </w:pPr>
            <w:r w:rsidRPr="009F18FB">
              <w:rPr>
                <w:rFonts w:ascii="Times New Roman" w:hAnsi="Times New Roman" w:cs="Times New Roman"/>
                <w:b/>
              </w:rPr>
              <w:t>3.3.2.5.</w:t>
            </w:r>
            <w:r w:rsidRPr="00E17136">
              <w:rPr>
                <w:rFonts w:ascii="Times New Roman" w:hAnsi="Times New Roman" w:cs="Times New Roman"/>
                <w:b/>
                <w:lang w:bidi="uk-UA"/>
              </w:rPr>
              <w:t>1</w:t>
            </w:r>
            <w:r w:rsidRPr="00E17136">
              <w:rPr>
                <w:rFonts w:ascii="Times New Roman" w:hAnsi="Times New Roman" w:cs="Times New Roman"/>
                <w:lang w:bidi="uk-UA"/>
              </w:rPr>
              <w:t xml:space="preserve">. Запровадження можливості здійснювати обмін інформацією (зокрема інформацією з обмеженим доступом) між </w:t>
            </w:r>
            <w:r w:rsidRPr="009F18FB">
              <w:rPr>
                <w:rFonts w:ascii="Times New Roman" w:hAnsi="Times New Roman" w:cs="Times New Roman"/>
              </w:rPr>
              <w:t>Національним антикорупційним бюро</w:t>
            </w:r>
            <w:r w:rsidRPr="00E17136">
              <w:rPr>
                <w:rFonts w:ascii="Times New Roman" w:hAnsi="Times New Roman" w:cs="Times New Roman"/>
                <w:lang w:bidi="uk-UA"/>
              </w:rPr>
              <w:t xml:space="preserve"> та </w:t>
            </w:r>
            <w:proofErr w:type="spellStart"/>
            <w:r w:rsidRPr="00E17136">
              <w:rPr>
                <w:rFonts w:ascii="Times New Roman" w:hAnsi="Times New Roman" w:cs="Times New Roman"/>
                <w:lang w:bidi="uk-UA"/>
              </w:rPr>
              <w:t>Держфінмоніторингом</w:t>
            </w:r>
            <w:proofErr w:type="spellEnd"/>
            <w:r w:rsidRPr="00E17136">
              <w:rPr>
                <w:rFonts w:ascii="Times New Roman" w:hAnsi="Times New Roman" w:cs="Times New Roman"/>
                <w:lang w:bidi="uk-UA"/>
              </w:rPr>
              <w:t xml:space="preserve"> в електронній формі</w:t>
            </w:r>
          </w:p>
        </w:tc>
        <w:tc>
          <w:tcPr>
            <w:tcW w:w="1134" w:type="dxa"/>
            <w:hideMark/>
          </w:tcPr>
          <w:p w:rsidR="00016E41" w:rsidRPr="009F18FB" w:rsidRDefault="00016E41" w:rsidP="00735BC3">
            <w:pPr>
              <w:spacing w:after="0"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9F18FB">
              <w:rPr>
                <w:rFonts w:ascii="Times New Roman" w:hAnsi="Times New Roman" w:cs="Times New Roman"/>
                <w:lang w:val="en-AU"/>
              </w:rPr>
              <w:t>березень</w:t>
            </w:r>
            <w:proofErr w:type="spellEnd"/>
            <w:r w:rsidRPr="009F18FB">
              <w:rPr>
                <w:rFonts w:ascii="Times New Roman" w:hAnsi="Times New Roman" w:cs="Times New Roman"/>
                <w:lang w:val="en-AU"/>
              </w:rPr>
              <w:br/>
              <w:t>2023 р.</w:t>
            </w:r>
          </w:p>
        </w:tc>
        <w:tc>
          <w:tcPr>
            <w:tcW w:w="1276" w:type="dxa"/>
            <w:hideMark/>
          </w:tcPr>
          <w:p w:rsidR="00016E41" w:rsidRPr="009F18FB" w:rsidRDefault="00016E41" w:rsidP="00735BC3">
            <w:pPr>
              <w:spacing w:after="0"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9F18FB">
              <w:rPr>
                <w:rFonts w:ascii="Times New Roman" w:hAnsi="Times New Roman" w:cs="Times New Roman"/>
                <w:lang w:val="en-AU"/>
              </w:rPr>
              <w:t>серпень</w:t>
            </w:r>
            <w:proofErr w:type="spellEnd"/>
            <w:r w:rsidRPr="009F18FB">
              <w:rPr>
                <w:rFonts w:ascii="Times New Roman" w:hAnsi="Times New Roman" w:cs="Times New Roman"/>
                <w:lang w:val="en-AU"/>
              </w:rPr>
              <w:br/>
              <w:t>2024 р.</w:t>
            </w:r>
          </w:p>
        </w:tc>
        <w:tc>
          <w:tcPr>
            <w:tcW w:w="1843" w:type="dxa"/>
          </w:tcPr>
          <w:p w:rsidR="00E02732" w:rsidRPr="00E02732" w:rsidRDefault="00E02732" w:rsidP="00E0273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2732">
              <w:rPr>
                <w:rFonts w:ascii="Times New Roman" w:hAnsi="Times New Roman" w:cs="Times New Roman"/>
                <w:lang w:val="ru-RU"/>
              </w:rPr>
              <w:t>Національне</w:t>
            </w:r>
            <w:proofErr w:type="spellEnd"/>
            <w:r w:rsidRPr="00E0273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02732">
              <w:rPr>
                <w:rFonts w:ascii="Times New Roman" w:hAnsi="Times New Roman" w:cs="Times New Roman"/>
                <w:lang w:val="ru-RU"/>
              </w:rPr>
              <w:t>антикорупційне</w:t>
            </w:r>
            <w:proofErr w:type="spellEnd"/>
            <w:r w:rsidRPr="00E02732">
              <w:rPr>
                <w:rFonts w:ascii="Times New Roman" w:hAnsi="Times New Roman" w:cs="Times New Roman"/>
                <w:lang w:val="ru-RU"/>
              </w:rPr>
              <w:t xml:space="preserve"> бюро</w:t>
            </w:r>
          </w:p>
          <w:p w:rsidR="00016E41" w:rsidRPr="00F2679A" w:rsidRDefault="00E02732" w:rsidP="00E0273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2732">
              <w:rPr>
                <w:rFonts w:ascii="Times New Roman" w:hAnsi="Times New Roman" w:cs="Times New Roman"/>
                <w:lang w:val="ru-RU"/>
              </w:rPr>
              <w:t>Держфінмоніто</w:t>
            </w:r>
            <w:proofErr w:type="spellEnd"/>
            <w:r w:rsidRPr="00E02732">
              <w:rPr>
                <w:rFonts w:ascii="Times New Roman" w:hAnsi="Times New Roman" w:cs="Times New Roman"/>
                <w:lang w:val="ru-RU"/>
              </w:rPr>
              <w:t>-ринг</w:t>
            </w:r>
          </w:p>
        </w:tc>
        <w:tc>
          <w:tcPr>
            <w:tcW w:w="1806" w:type="dxa"/>
          </w:tcPr>
          <w:p w:rsidR="00016E41" w:rsidRPr="00F2679A" w:rsidRDefault="00016E41" w:rsidP="001B46C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679A">
              <w:rPr>
                <w:rFonts w:ascii="Times New Roman" w:hAnsi="Times New Roman" w:cs="Times New Roman"/>
                <w:lang w:val="ru-RU"/>
              </w:rPr>
              <w:t xml:space="preserve">Департамент </w:t>
            </w:r>
            <w:proofErr w:type="spellStart"/>
            <w:r w:rsidRPr="00F2679A">
              <w:rPr>
                <w:rFonts w:ascii="Times New Roman" w:hAnsi="Times New Roman" w:cs="Times New Roman"/>
                <w:lang w:val="ru-RU"/>
              </w:rPr>
              <w:t>фінансових</w:t>
            </w:r>
            <w:proofErr w:type="spellEnd"/>
            <w:r w:rsidRPr="00F2679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2679A">
              <w:rPr>
                <w:rFonts w:ascii="Times New Roman" w:hAnsi="Times New Roman" w:cs="Times New Roman"/>
                <w:lang w:val="ru-RU"/>
              </w:rPr>
              <w:t>розслідувань</w:t>
            </w:r>
            <w:proofErr w:type="spellEnd"/>
          </w:p>
          <w:p w:rsidR="00016E41" w:rsidRPr="00F2679A" w:rsidRDefault="00016E41" w:rsidP="001B46C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16E41" w:rsidRPr="00F2679A" w:rsidRDefault="00016E41" w:rsidP="001B46C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679A">
              <w:rPr>
                <w:rFonts w:ascii="Times New Roman" w:hAnsi="Times New Roman" w:cs="Times New Roman"/>
                <w:lang w:val="ru-RU"/>
              </w:rPr>
              <w:t xml:space="preserve">Департамент </w:t>
            </w:r>
            <w:proofErr w:type="spellStart"/>
            <w:r w:rsidRPr="00F2679A">
              <w:rPr>
                <w:rFonts w:ascii="Times New Roman" w:hAnsi="Times New Roman" w:cs="Times New Roman"/>
                <w:lang w:val="ru-RU"/>
              </w:rPr>
              <w:t>інформаційних</w:t>
            </w:r>
            <w:proofErr w:type="spellEnd"/>
            <w:r w:rsidRPr="00F2679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2679A">
              <w:rPr>
                <w:rFonts w:ascii="Times New Roman" w:hAnsi="Times New Roman" w:cs="Times New Roman"/>
                <w:lang w:val="ru-RU"/>
              </w:rPr>
              <w:t>технологій</w:t>
            </w:r>
            <w:proofErr w:type="spellEnd"/>
          </w:p>
          <w:p w:rsidR="00016E41" w:rsidRPr="00F2679A" w:rsidRDefault="00016E41" w:rsidP="001B46C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16E41" w:rsidRPr="00F2679A" w:rsidRDefault="00016E41" w:rsidP="001B46C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679A">
              <w:rPr>
                <w:rFonts w:ascii="Times New Roman" w:hAnsi="Times New Roman" w:cs="Times New Roman"/>
                <w:lang w:val="ru-RU"/>
              </w:rPr>
              <w:t xml:space="preserve">Департамент </w:t>
            </w:r>
            <w:proofErr w:type="spellStart"/>
            <w:r w:rsidRPr="00F2679A">
              <w:rPr>
                <w:rFonts w:ascii="Times New Roman" w:hAnsi="Times New Roman" w:cs="Times New Roman"/>
                <w:lang w:val="ru-RU"/>
              </w:rPr>
              <w:t>координації</w:t>
            </w:r>
            <w:proofErr w:type="spellEnd"/>
            <w:r w:rsidRPr="00F2679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2679A">
              <w:rPr>
                <w:rFonts w:ascii="Times New Roman" w:hAnsi="Times New Roman" w:cs="Times New Roman"/>
                <w:lang w:val="ru-RU"/>
              </w:rPr>
              <w:t>системи</w:t>
            </w:r>
            <w:proofErr w:type="spellEnd"/>
            <w:r w:rsidRPr="00F2679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2679A">
              <w:rPr>
                <w:rFonts w:ascii="Times New Roman" w:hAnsi="Times New Roman" w:cs="Times New Roman"/>
                <w:lang w:val="ru-RU"/>
              </w:rPr>
              <w:t>фінансового</w:t>
            </w:r>
            <w:proofErr w:type="spellEnd"/>
            <w:r w:rsidRPr="00F2679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2679A">
              <w:rPr>
                <w:rFonts w:ascii="Times New Roman" w:hAnsi="Times New Roman" w:cs="Times New Roman"/>
                <w:lang w:val="ru-RU"/>
              </w:rPr>
              <w:t>моніторингу</w:t>
            </w:r>
            <w:proofErr w:type="spellEnd"/>
          </w:p>
          <w:p w:rsidR="00016E41" w:rsidRPr="00F2679A" w:rsidRDefault="00016E41" w:rsidP="001B46C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16E41" w:rsidRDefault="00016E41" w:rsidP="001B46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Юридичне управління</w:t>
            </w:r>
          </w:p>
          <w:p w:rsidR="00016E41" w:rsidRDefault="00016E41" w:rsidP="001B46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Управління міжнародного співробітництва</w:t>
            </w:r>
          </w:p>
          <w:p w:rsidR="00016E41" w:rsidRDefault="00016E41" w:rsidP="001B46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6E41" w:rsidRPr="001B46CB" w:rsidRDefault="00016E41" w:rsidP="001B46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контролю та адміністративно-господарської роботи</w:t>
            </w:r>
          </w:p>
          <w:p w:rsidR="00016E41" w:rsidRPr="001B46CB" w:rsidRDefault="00016E41" w:rsidP="001B46C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16E41" w:rsidRPr="001B46CB" w:rsidRDefault="00016E41" w:rsidP="001B46C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hideMark/>
          </w:tcPr>
          <w:p w:rsidR="00016E41" w:rsidRPr="009F18FB" w:rsidRDefault="00016E41" w:rsidP="00735BC3">
            <w:pPr>
              <w:spacing w:after="0"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9F18FB">
              <w:rPr>
                <w:rFonts w:ascii="Times New Roman" w:hAnsi="Times New Roman" w:cs="Times New Roman"/>
                <w:lang w:val="en-AU"/>
              </w:rPr>
              <w:lastRenderedPageBreak/>
              <w:t>державний</w:t>
            </w:r>
            <w:proofErr w:type="spellEnd"/>
            <w:r w:rsidRPr="009F18FB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en-AU"/>
              </w:rPr>
              <w:t>бюджет</w:t>
            </w:r>
            <w:proofErr w:type="spellEnd"/>
          </w:p>
        </w:tc>
        <w:tc>
          <w:tcPr>
            <w:tcW w:w="1984" w:type="dxa"/>
            <w:gridSpan w:val="3"/>
            <w:hideMark/>
          </w:tcPr>
          <w:p w:rsidR="00016E41" w:rsidRPr="009F18FB" w:rsidRDefault="00016E41" w:rsidP="00735BC3">
            <w:pPr>
              <w:spacing w:after="0"/>
              <w:ind w:right="-107"/>
              <w:rPr>
                <w:rFonts w:ascii="Times New Roman" w:hAnsi="Times New Roman" w:cs="Times New Roman"/>
                <w:lang w:val="ru-RU"/>
              </w:rPr>
            </w:pPr>
            <w:r w:rsidRPr="009F18FB">
              <w:rPr>
                <w:rFonts w:ascii="Times New Roman" w:hAnsi="Times New Roman" w:cs="Times New Roman"/>
                <w:lang w:val="ru-RU"/>
              </w:rPr>
              <w:t xml:space="preserve">у межах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встановлених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бюджетних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призначень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відповідний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рік</w:t>
            </w:r>
            <w:proofErr w:type="spellEnd"/>
          </w:p>
        </w:tc>
        <w:tc>
          <w:tcPr>
            <w:tcW w:w="2447" w:type="dxa"/>
            <w:hideMark/>
          </w:tcPr>
          <w:p w:rsidR="00016E41" w:rsidRPr="009F18FB" w:rsidRDefault="00016E41" w:rsidP="00D828A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8FB">
              <w:rPr>
                <w:rFonts w:ascii="Times New Roman" w:hAnsi="Times New Roman" w:cs="Times New Roman"/>
                <w:lang w:val="ru-RU"/>
              </w:rPr>
              <w:t xml:space="preserve">практично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застосовано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технічну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можливість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здійснювати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обмін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інформацією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зокрема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інформацією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обмеженим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доступом)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між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Національним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антикорупційним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бюро та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Держфінмоніторингом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електронній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16E41" w:rsidRPr="009F18FB" w:rsidTr="001A06A5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41" w:rsidRPr="009F18FB" w:rsidRDefault="00016E41" w:rsidP="00735BC3">
            <w:pPr>
              <w:spacing w:after="0"/>
              <w:rPr>
                <w:rFonts w:ascii="Times New Roman" w:hAnsi="Times New Roman" w:cs="Times New Roman"/>
              </w:rPr>
            </w:pPr>
            <w:r w:rsidRPr="009F18FB">
              <w:rPr>
                <w:rFonts w:ascii="Times New Roman" w:hAnsi="Times New Roman" w:cs="Times New Roman"/>
                <w:b/>
              </w:rPr>
              <w:t>3.3.2.5.2.</w:t>
            </w:r>
            <w:r w:rsidRPr="009F18FB">
              <w:rPr>
                <w:rFonts w:ascii="Times New Roman" w:hAnsi="Times New Roman" w:cs="Times New Roman"/>
              </w:rPr>
              <w:t xml:space="preserve"> Проведення аналізу результативності розгляду Національним антикорупційним бюро узагальнених матеріалів </w:t>
            </w:r>
            <w:proofErr w:type="spellStart"/>
            <w:r w:rsidRPr="009F18FB">
              <w:rPr>
                <w:rFonts w:ascii="Times New Roman" w:hAnsi="Times New Roman" w:cs="Times New Roman"/>
              </w:rPr>
              <w:t>Держфінмоніторингу</w:t>
            </w:r>
            <w:proofErr w:type="spellEnd"/>
            <w:r w:rsidRPr="009F18FB">
              <w:rPr>
                <w:rFonts w:ascii="Times New Roman" w:hAnsi="Times New Roman" w:cs="Times New Roman"/>
              </w:rPr>
              <w:t xml:space="preserve"> для встановлення причин, що можуть знижувати таку результативність, та визначення рекомендацій щодо удосконалення співпраці між Національним антикорупційним бюро та </w:t>
            </w:r>
            <w:proofErr w:type="spellStart"/>
            <w:r w:rsidRPr="009F18FB">
              <w:rPr>
                <w:rFonts w:ascii="Times New Roman" w:hAnsi="Times New Roman" w:cs="Times New Roman"/>
              </w:rPr>
              <w:t>Держфінмоніторингом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41" w:rsidRPr="009F18FB" w:rsidRDefault="00016E41" w:rsidP="00735BC3">
            <w:pPr>
              <w:spacing w:after="0"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9F18FB">
              <w:rPr>
                <w:rFonts w:ascii="Times New Roman" w:hAnsi="Times New Roman" w:cs="Times New Roman"/>
                <w:lang w:val="en-AU"/>
              </w:rPr>
              <w:t>січень</w:t>
            </w:r>
            <w:proofErr w:type="spellEnd"/>
            <w:r w:rsidRPr="009F18FB">
              <w:rPr>
                <w:rFonts w:ascii="Times New Roman" w:hAnsi="Times New Roman" w:cs="Times New Roman"/>
                <w:lang w:val="en-AU"/>
              </w:rPr>
              <w:br/>
              <w:t>2024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41" w:rsidRPr="009F18FB" w:rsidRDefault="00016E41" w:rsidP="00735BC3">
            <w:pPr>
              <w:spacing w:after="0"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9F18FB">
              <w:rPr>
                <w:rFonts w:ascii="Times New Roman" w:hAnsi="Times New Roman" w:cs="Times New Roman"/>
                <w:lang w:val="en-AU"/>
              </w:rPr>
              <w:t>червень</w:t>
            </w:r>
            <w:proofErr w:type="spellEnd"/>
            <w:r w:rsidRPr="009F18FB">
              <w:rPr>
                <w:rFonts w:ascii="Times New Roman" w:hAnsi="Times New Roman" w:cs="Times New Roman"/>
                <w:lang w:val="en-AU"/>
              </w:rPr>
              <w:br/>
              <w:t>2024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32" w:rsidRPr="00E02732" w:rsidRDefault="00E02732" w:rsidP="00E02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732">
              <w:rPr>
                <w:rFonts w:ascii="Times New Roman" w:hAnsi="Times New Roman" w:cs="Times New Roman"/>
              </w:rPr>
              <w:t>Національне антикорупційне бюро</w:t>
            </w:r>
          </w:p>
          <w:p w:rsidR="00016E41" w:rsidRDefault="00E02732" w:rsidP="00E02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Держфінмоніто</w:t>
            </w:r>
            <w:r w:rsidRPr="00E02732">
              <w:rPr>
                <w:rFonts w:ascii="Times New Roman" w:hAnsi="Times New Roman" w:cs="Times New Roman"/>
              </w:rPr>
              <w:t>ринг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41" w:rsidRPr="001B46CB" w:rsidRDefault="00016E41" w:rsidP="001B46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фінансових розслідувань</w:t>
            </w:r>
          </w:p>
          <w:p w:rsidR="00016E41" w:rsidRPr="009F18FB" w:rsidRDefault="00016E41" w:rsidP="001B46C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41" w:rsidRPr="009F18FB" w:rsidRDefault="00016E41" w:rsidP="00735BC3">
            <w:pPr>
              <w:spacing w:after="0"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9F18FB">
              <w:rPr>
                <w:rFonts w:ascii="Times New Roman" w:hAnsi="Times New Roman" w:cs="Times New Roman"/>
                <w:lang w:val="en-AU"/>
              </w:rPr>
              <w:t>державний</w:t>
            </w:r>
            <w:proofErr w:type="spellEnd"/>
            <w:r w:rsidRPr="009F18FB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en-AU"/>
              </w:rPr>
              <w:t>бюджет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41" w:rsidRPr="009F18FB" w:rsidRDefault="00016E41" w:rsidP="00735BC3">
            <w:pPr>
              <w:spacing w:after="0"/>
              <w:ind w:right="-107"/>
              <w:rPr>
                <w:rFonts w:ascii="Times New Roman" w:hAnsi="Times New Roman" w:cs="Times New Roman"/>
                <w:lang w:val="ru-RU"/>
              </w:rPr>
            </w:pPr>
            <w:r w:rsidRPr="009F18FB">
              <w:rPr>
                <w:rFonts w:ascii="Times New Roman" w:hAnsi="Times New Roman" w:cs="Times New Roman"/>
                <w:lang w:val="ru-RU"/>
              </w:rPr>
              <w:t xml:space="preserve">у межах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встановлених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бюджетних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призначень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відповідний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рік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41" w:rsidRPr="009F18FB" w:rsidRDefault="00016E41" w:rsidP="00D828A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звіт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за результатами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аналізу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результативності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розгляду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Національним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антикорупційним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бюро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узагальнених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Держфінмоніторингу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встановлення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причин,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можуть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знижувати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таку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результативність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підготовлено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звіт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містить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рекомендації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щодо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удосконалення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співпраці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між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Національним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антикорупційним</w:t>
            </w:r>
            <w:proofErr w:type="spellEnd"/>
            <w:r w:rsidRPr="009F18FB">
              <w:rPr>
                <w:rFonts w:ascii="Times New Roman" w:hAnsi="Times New Roman" w:cs="Times New Roman"/>
                <w:lang w:val="ru-RU"/>
              </w:rPr>
              <w:t xml:space="preserve"> бюро та </w:t>
            </w:r>
            <w:proofErr w:type="spellStart"/>
            <w:r w:rsidRPr="009F18FB">
              <w:rPr>
                <w:rFonts w:ascii="Times New Roman" w:hAnsi="Times New Roman" w:cs="Times New Roman"/>
                <w:lang w:val="ru-RU"/>
              </w:rPr>
              <w:t>Держфінмоніторингом</w:t>
            </w:r>
            <w:proofErr w:type="spellEnd"/>
          </w:p>
        </w:tc>
      </w:tr>
    </w:tbl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276"/>
        <w:gridCol w:w="1843"/>
        <w:gridCol w:w="1843"/>
        <w:gridCol w:w="1417"/>
        <w:gridCol w:w="1985"/>
        <w:gridCol w:w="2409"/>
      </w:tblGrid>
      <w:tr w:rsidR="00E02732" w:rsidRPr="009F18FB" w:rsidTr="001A06A5">
        <w:trPr>
          <w:trHeight w:val="230"/>
        </w:trPr>
        <w:tc>
          <w:tcPr>
            <w:tcW w:w="15304" w:type="dxa"/>
            <w:gridSpan w:val="8"/>
          </w:tcPr>
          <w:p w:rsidR="00E02732" w:rsidRPr="009F18FB" w:rsidRDefault="00E02732" w:rsidP="00E474DC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  <w:r w:rsidRPr="009F18FB">
              <w:rPr>
                <w:rFonts w:ascii="Times New Roman" w:hAnsi="Times New Roman" w:cs="Times New Roman"/>
                <w:b/>
              </w:rPr>
              <w:t xml:space="preserve">Очікуваний стратегічний результат 3.3.3.10. Випадки легалізації коштів та активів, одержаних корупційним шляхом, виявляються та належно фіксуються завдяки ефективній діяльності </w:t>
            </w:r>
            <w:proofErr w:type="spellStart"/>
            <w:r w:rsidRPr="009F18FB">
              <w:rPr>
                <w:rFonts w:ascii="Times New Roman" w:hAnsi="Times New Roman" w:cs="Times New Roman"/>
                <w:b/>
              </w:rPr>
              <w:t>Держфінмоніторингу</w:t>
            </w:r>
            <w:proofErr w:type="spellEnd"/>
            <w:r w:rsidRPr="009F18FB">
              <w:rPr>
                <w:rFonts w:ascii="Times New Roman" w:hAnsi="Times New Roman" w:cs="Times New Roman"/>
                <w:b/>
              </w:rPr>
              <w:t xml:space="preserve"> та нормативному врегулюванню його співпраці з Національним агентством, Національним антикорупційним бюро, Спеціалізованою антикорупційною прокуратурою, АРМА та іншими державними органами</w:t>
            </w:r>
          </w:p>
        </w:tc>
      </w:tr>
      <w:tr w:rsidR="00E02732" w:rsidRPr="009F18FB" w:rsidTr="00C6699C">
        <w:trPr>
          <w:trHeight w:val="230"/>
        </w:trPr>
        <w:tc>
          <w:tcPr>
            <w:tcW w:w="3397" w:type="dxa"/>
            <w:hideMark/>
          </w:tcPr>
          <w:p w:rsidR="00E02732" w:rsidRPr="009F18FB" w:rsidRDefault="00E02732" w:rsidP="00993B46">
            <w:pPr>
              <w:spacing w:before="60"/>
              <w:rPr>
                <w:rFonts w:ascii="Times New Roman" w:eastAsia="Calibri" w:hAnsi="Times New Roman" w:cs="Times New Roman"/>
                <w:noProof/>
                <w:lang w:val="ru-RU" w:eastAsia="uk-UA" w:bidi="uk-UA"/>
              </w:rPr>
            </w:pPr>
            <w:r w:rsidRPr="005A335E">
              <w:rPr>
                <w:rFonts w:ascii="Times New Roman" w:eastAsia="Calibri" w:hAnsi="Times New Roman" w:cs="Times New Roman"/>
                <w:b/>
                <w:noProof/>
                <w:lang w:val="ru-RU" w:bidi="uk-UA"/>
              </w:rPr>
              <w:lastRenderedPageBreak/>
              <w:t>3.3.3.10.1.</w:t>
            </w:r>
            <w:r w:rsidRPr="009F18FB">
              <w:rPr>
                <w:rFonts w:ascii="Times New Roman" w:eastAsia="Calibri" w:hAnsi="Times New Roman" w:cs="Times New Roman"/>
                <w:noProof/>
                <w:lang w:val="ru-RU" w:bidi="uk-UA"/>
              </w:rPr>
              <w:t xml:space="preserve"> Введення в дію інформаційно-телекомунікаційної системи </w:t>
            </w:r>
            <w:r w:rsidRPr="009F18FB">
              <w:rPr>
                <w:rFonts w:ascii="Times New Roman" w:eastAsia="Calibri" w:hAnsi="Times New Roman" w:cs="Times New Roman"/>
                <w:noProof/>
                <w:lang w:val="ru-RU"/>
              </w:rPr>
              <w:t>“</w:t>
            </w:r>
            <w:r w:rsidRPr="009F18FB">
              <w:rPr>
                <w:rFonts w:ascii="Times New Roman" w:eastAsia="Calibri" w:hAnsi="Times New Roman" w:cs="Times New Roman"/>
                <w:noProof/>
                <w:lang w:val="ru-RU" w:bidi="uk-UA"/>
              </w:rPr>
              <w:t>Електронний кабінет системи фінансового моніторингу</w:t>
            </w:r>
            <w:r w:rsidRPr="009F18FB">
              <w:rPr>
                <w:rFonts w:ascii="Times New Roman" w:eastAsia="Calibri" w:hAnsi="Times New Roman" w:cs="Times New Roman"/>
                <w:noProof/>
                <w:lang w:val="ru-RU"/>
              </w:rPr>
              <w:t>”</w:t>
            </w:r>
          </w:p>
        </w:tc>
        <w:tc>
          <w:tcPr>
            <w:tcW w:w="1134" w:type="dxa"/>
            <w:hideMark/>
          </w:tcPr>
          <w:p w:rsidR="00E02732" w:rsidRPr="009F18FB" w:rsidRDefault="00E02732" w:rsidP="00993B46">
            <w:pPr>
              <w:spacing w:before="60"/>
              <w:rPr>
                <w:rFonts w:ascii="Times New Roman" w:eastAsia="Calibri" w:hAnsi="Times New Roman" w:cs="Times New Roman"/>
                <w:noProof/>
                <w:lang w:val="ru-R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noProof/>
                <w:lang w:val="ru-RU" w:bidi="uk-UA"/>
              </w:rPr>
              <w:t>день припинення чи скасування воєнного стану</w:t>
            </w:r>
          </w:p>
        </w:tc>
        <w:tc>
          <w:tcPr>
            <w:tcW w:w="1276" w:type="dxa"/>
            <w:hideMark/>
          </w:tcPr>
          <w:p w:rsidR="00E02732" w:rsidRPr="009F18FB" w:rsidRDefault="00E02732" w:rsidP="00993B46">
            <w:pPr>
              <w:spacing w:before="60"/>
              <w:rPr>
                <w:rFonts w:ascii="Times New Roman" w:eastAsia="Calibri" w:hAnsi="Times New Roman" w:cs="Times New Roman"/>
                <w:noProof/>
                <w:lang w:val="ru-R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noProof/>
                <w:lang w:val="ru-RU" w:bidi="uk-UA"/>
              </w:rPr>
              <w:t>чотири місяці з дня припинення чи скасування воєнного стану</w:t>
            </w:r>
          </w:p>
        </w:tc>
        <w:tc>
          <w:tcPr>
            <w:tcW w:w="1843" w:type="dxa"/>
          </w:tcPr>
          <w:p w:rsidR="00E02732" w:rsidRDefault="00E02732" w:rsidP="00463CEA">
            <w:pPr>
              <w:spacing w:before="60"/>
              <w:jc w:val="center"/>
              <w:rPr>
                <w:rFonts w:ascii="Times New Roman" w:eastAsia="Calibri" w:hAnsi="Times New Roman" w:cs="Times New Roman"/>
                <w:noProof/>
                <w:lang w:bidi="uk-UA"/>
              </w:rPr>
            </w:pPr>
            <w:r w:rsidRPr="00E02732">
              <w:rPr>
                <w:rFonts w:ascii="Times New Roman" w:eastAsia="Calibri" w:hAnsi="Times New Roman" w:cs="Times New Roman"/>
                <w:noProof/>
                <w:lang w:bidi="uk-UA"/>
              </w:rPr>
              <w:t>Держфінмоніто-ринг</w:t>
            </w:r>
          </w:p>
        </w:tc>
        <w:tc>
          <w:tcPr>
            <w:tcW w:w="1843" w:type="dxa"/>
            <w:hideMark/>
          </w:tcPr>
          <w:p w:rsidR="00E02732" w:rsidRPr="001B46CB" w:rsidRDefault="00E02732" w:rsidP="00463CEA">
            <w:pPr>
              <w:spacing w:before="60"/>
              <w:jc w:val="center"/>
              <w:rPr>
                <w:rFonts w:ascii="Times New Roman" w:eastAsia="Calibri" w:hAnsi="Times New Roman" w:cs="Times New Roman"/>
                <w:noProof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noProof/>
                <w:lang w:bidi="uk-UA"/>
              </w:rPr>
              <w:t>Департамент інформаційних технологій</w:t>
            </w:r>
          </w:p>
        </w:tc>
        <w:tc>
          <w:tcPr>
            <w:tcW w:w="1417" w:type="dxa"/>
            <w:hideMark/>
          </w:tcPr>
          <w:p w:rsidR="00E02732" w:rsidRPr="009F18FB" w:rsidRDefault="00E02732" w:rsidP="00993B46">
            <w:pPr>
              <w:spacing w:before="60"/>
              <w:rPr>
                <w:rFonts w:ascii="Times New Roman" w:eastAsia="Calibri" w:hAnsi="Times New Roman" w:cs="Times New Roman"/>
                <w:noProof/>
                <w:lang w:val="en-A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noProof/>
                <w:lang w:val="en-AU" w:bidi="uk-UA"/>
              </w:rPr>
              <w:t>державний бюджет</w:t>
            </w:r>
          </w:p>
        </w:tc>
        <w:tc>
          <w:tcPr>
            <w:tcW w:w="1985" w:type="dxa"/>
            <w:hideMark/>
          </w:tcPr>
          <w:p w:rsidR="00E02732" w:rsidRPr="009F18FB" w:rsidRDefault="00E02732" w:rsidP="00993B46">
            <w:pPr>
              <w:spacing w:before="60"/>
              <w:rPr>
                <w:rFonts w:ascii="Times New Roman" w:eastAsia="Calibri" w:hAnsi="Times New Roman" w:cs="Times New Roman"/>
                <w:noProof/>
                <w:lang w:val="ru-R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noProof/>
                <w:lang w:val="ru-RU" w:bidi="uk-UA"/>
              </w:rPr>
              <w:t>у межах встановлених бюджетних призначень на відповідний рік</w:t>
            </w:r>
          </w:p>
        </w:tc>
        <w:tc>
          <w:tcPr>
            <w:tcW w:w="2409" w:type="dxa"/>
            <w:hideMark/>
          </w:tcPr>
          <w:p w:rsidR="00E02732" w:rsidRPr="009F18FB" w:rsidRDefault="00E02732" w:rsidP="00D828A5">
            <w:pPr>
              <w:spacing w:before="60"/>
              <w:jc w:val="both"/>
              <w:rPr>
                <w:rFonts w:ascii="Times New Roman" w:eastAsia="Calibri" w:hAnsi="Times New Roman" w:cs="Times New Roman"/>
                <w:noProof/>
                <w:lang w:val="ru-RU" w:bidi="uk-UA"/>
              </w:rPr>
            </w:pPr>
            <w:r w:rsidRPr="009F18FB">
              <w:rPr>
                <w:rFonts w:ascii="Times New Roman" w:eastAsia="Calibri" w:hAnsi="Times New Roman" w:cs="Times New Roman"/>
                <w:noProof/>
                <w:lang w:val="ru-RU" w:bidi="uk-UA"/>
              </w:rPr>
              <w:t>програмне забезпечення розроблено</w:t>
            </w:r>
          </w:p>
          <w:p w:rsidR="00E02732" w:rsidRPr="00F2679A" w:rsidRDefault="00E02732" w:rsidP="00D828A5">
            <w:pPr>
              <w:spacing w:before="60"/>
              <w:jc w:val="both"/>
              <w:rPr>
                <w:rFonts w:ascii="Times New Roman" w:eastAsia="Calibri" w:hAnsi="Times New Roman" w:cs="Times New Roman"/>
                <w:noProof/>
                <w:lang w:val="ru-R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noProof/>
                <w:lang w:val="ru-RU" w:bidi="uk-UA"/>
              </w:rPr>
              <w:t>необхідне технічне обладнання для функціонування електронної системи запроваджено</w:t>
            </w:r>
          </w:p>
        </w:tc>
      </w:tr>
    </w:tbl>
    <w:tbl>
      <w:tblPr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276"/>
        <w:gridCol w:w="1985"/>
        <w:gridCol w:w="1701"/>
        <w:gridCol w:w="1417"/>
        <w:gridCol w:w="1985"/>
        <w:gridCol w:w="2409"/>
      </w:tblGrid>
      <w:tr w:rsidR="00E02732" w:rsidRPr="009F18FB" w:rsidTr="001A06A5">
        <w:trPr>
          <w:trHeight w:val="230"/>
        </w:trPr>
        <w:tc>
          <w:tcPr>
            <w:tcW w:w="15304" w:type="dxa"/>
            <w:gridSpan w:val="8"/>
          </w:tcPr>
          <w:p w:rsidR="00E02732" w:rsidRPr="00E17136" w:rsidRDefault="00E02732" w:rsidP="00993B46">
            <w:pPr>
              <w:spacing w:before="60" w:line="228" w:lineRule="auto"/>
              <w:rPr>
                <w:rFonts w:ascii="Times New Roman" w:eastAsia="Calibri" w:hAnsi="Times New Roman" w:cs="Times New Roman"/>
                <w:b/>
                <w:bCs/>
                <w:noProof/>
                <w:lang w:bidi="uk-UA"/>
              </w:rPr>
            </w:pPr>
            <w:r w:rsidRPr="00E17136">
              <w:rPr>
                <w:rFonts w:ascii="Times New Roman" w:eastAsia="Calibri" w:hAnsi="Times New Roman" w:cs="Times New Roman"/>
                <w:b/>
                <w:bCs/>
                <w:noProof/>
                <w:lang w:bidi="uk-UA"/>
              </w:rPr>
              <w:t xml:space="preserve">Очікуваний стратегічний результат 3.3.3.11. Заходи із запобігання легалізації коштів, одержаних корупційним шляхом, визначаються на підставі результатів оцінки ризиків, належно здійснюються; рекомендації </w:t>
            </w:r>
            <w:r w:rsidRPr="009F18FB">
              <w:rPr>
                <w:rFonts w:ascii="Times New Roman" w:eastAsia="Calibri" w:hAnsi="Times New Roman" w:cs="Times New Roman"/>
                <w:b/>
                <w:bCs/>
                <w:noProof/>
                <w:lang w:val="en-AU" w:bidi="uk-UA"/>
              </w:rPr>
              <w:t>FATF</w:t>
            </w:r>
            <w:r w:rsidRPr="00E17136">
              <w:rPr>
                <w:rFonts w:ascii="Times New Roman" w:eastAsia="Calibri" w:hAnsi="Times New Roman" w:cs="Times New Roman"/>
                <w:b/>
                <w:bCs/>
                <w:noProof/>
                <w:lang w:bidi="uk-UA"/>
              </w:rPr>
              <w:t xml:space="preserve"> послідовно втілюються</w:t>
            </w:r>
          </w:p>
        </w:tc>
      </w:tr>
      <w:tr w:rsidR="00E02732" w:rsidRPr="009F18FB" w:rsidTr="00C6699C">
        <w:trPr>
          <w:trHeight w:val="230"/>
        </w:trPr>
        <w:tc>
          <w:tcPr>
            <w:tcW w:w="3397" w:type="dxa"/>
            <w:hideMark/>
          </w:tcPr>
          <w:p w:rsidR="00E02732" w:rsidRPr="009F18FB" w:rsidRDefault="00E02732" w:rsidP="00993B46">
            <w:pPr>
              <w:spacing w:before="60" w:line="228" w:lineRule="auto"/>
              <w:rPr>
                <w:rFonts w:ascii="Times New Roman" w:eastAsia="Calibri" w:hAnsi="Times New Roman" w:cs="Times New Roman"/>
                <w:noProof/>
                <w:lang w:val="ru-R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b/>
                <w:bCs/>
                <w:noProof/>
                <w:lang w:val="ru-RU" w:bidi="uk-UA"/>
              </w:rPr>
              <w:t>3.3.3.11.2.</w:t>
            </w:r>
            <w:r w:rsidRPr="009F18FB"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  <w:t xml:space="preserve"> Розроблення та подання Кабінетові Міністрів України проекту закону, яким встановлено, що визнання майна таким, що одержане злочинним шляхом, для цілей статті 209 Кримінального кодексу України здійснюється виходячи з фактичних обставин і не потребує рішення суду, винесеного в Україні чи за її межами, яким встановлено факт вчинення злочину, внаслідок якого одержане таке майно або притягнуто особу до кримінальної відповідальності за вчинення такого злочину</w:t>
            </w:r>
          </w:p>
        </w:tc>
        <w:tc>
          <w:tcPr>
            <w:tcW w:w="1134" w:type="dxa"/>
            <w:hideMark/>
          </w:tcPr>
          <w:p w:rsidR="00E02732" w:rsidRPr="009F18FB" w:rsidRDefault="00E02732" w:rsidP="00993B46">
            <w:pPr>
              <w:spacing w:before="60" w:line="228" w:lineRule="auto"/>
              <w:rPr>
                <w:rFonts w:ascii="Times New Roman" w:eastAsia="Calibri" w:hAnsi="Times New Roman" w:cs="Times New Roman"/>
                <w:noProof/>
                <w:lang w:val="en-A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bCs/>
                <w:noProof/>
                <w:lang w:val="en-AU" w:bidi="uk-UA"/>
              </w:rPr>
              <w:t>березень</w:t>
            </w:r>
            <w:r w:rsidRPr="009F18FB">
              <w:rPr>
                <w:rFonts w:ascii="Times New Roman" w:eastAsia="Calibri" w:hAnsi="Times New Roman" w:cs="Times New Roman"/>
                <w:bCs/>
                <w:noProof/>
                <w:lang w:val="en-AU" w:bidi="uk-UA"/>
              </w:rPr>
              <w:br/>
              <w:t>2024 р.</w:t>
            </w:r>
          </w:p>
        </w:tc>
        <w:tc>
          <w:tcPr>
            <w:tcW w:w="1276" w:type="dxa"/>
            <w:hideMark/>
          </w:tcPr>
          <w:p w:rsidR="00E02732" w:rsidRPr="009F18FB" w:rsidRDefault="00E02732" w:rsidP="00993B46">
            <w:pPr>
              <w:spacing w:before="60" w:line="228" w:lineRule="auto"/>
              <w:rPr>
                <w:rFonts w:ascii="Times New Roman" w:eastAsia="Calibri" w:hAnsi="Times New Roman" w:cs="Times New Roman"/>
                <w:noProof/>
                <w:lang w:val="en-A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bCs/>
                <w:noProof/>
                <w:lang w:val="en-AU" w:bidi="uk-UA"/>
              </w:rPr>
              <w:t>серпень</w:t>
            </w:r>
            <w:r w:rsidRPr="009F18FB">
              <w:rPr>
                <w:rFonts w:ascii="Times New Roman" w:eastAsia="Calibri" w:hAnsi="Times New Roman" w:cs="Times New Roman"/>
                <w:bCs/>
                <w:noProof/>
                <w:lang w:val="en-AU" w:bidi="uk-UA"/>
              </w:rPr>
              <w:br/>
              <w:t>2024 р.</w:t>
            </w:r>
          </w:p>
        </w:tc>
        <w:tc>
          <w:tcPr>
            <w:tcW w:w="1985" w:type="dxa"/>
          </w:tcPr>
          <w:p w:rsidR="001A06A5" w:rsidRPr="001A06A5" w:rsidRDefault="001A06A5" w:rsidP="001A06A5">
            <w:pPr>
              <w:spacing w:before="60" w:line="228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</w:pPr>
            <w:r w:rsidRPr="001A06A5"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  <w:t>Національне агентство</w:t>
            </w:r>
          </w:p>
          <w:p w:rsidR="001A06A5" w:rsidRPr="001A06A5" w:rsidRDefault="001A06A5" w:rsidP="001A06A5">
            <w:pPr>
              <w:spacing w:before="60" w:line="228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</w:pPr>
            <w:r w:rsidRPr="001A06A5"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  <w:t>Офіс Генерального прокурора (за згодою)</w:t>
            </w:r>
          </w:p>
          <w:p w:rsidR="001A06A5" w:rsidRPr="001A06A5" w:rsidRDefault="001A06A5" w:rsidP="001A06A5">
            <w:pPr>
              <w:spacing w:before="60" w:line="228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</w:pPr>
            <w:r w:rsidRPr="001A06A5"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  <w:t>Національне антикорупційне бюро</w:t>
            </w:r>
          </w:p>
          <w:p w:rsidR="001A06A5" w:rsidRPr="001A06A5" w:rsidRDefault="001A06A5" w:rsidP="001A06A5">
            <w:pPr>
              <w:spacing w:before="60" w:line="228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</w:pPr>
            <w:r w:rsidRPr="001A06A5"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  <w:t>БЕБ</w:t>
            </w:r>
          </w:p>
          <w:p w:rsidR="001A06A5" w:rsidRPr="001A06A5" w:rsidRDefault="001A06A5" w:rsidP="001A06A5">
            <w:pPr>
              <w:spacing w:before="60" w:line="228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</w:pPr>
            <w:r w:rsidRPr="001A06A5"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  <w:t>Державне бюро розслідувань (за згодою)</w:t>
            </w:r>
          </w:p>
          <w:p w:rsidR="001A06A5" w:rsidRPr="001A06A5" w:rsidRDefault="001A06A5" w:rsidP="001A06A5">
            <w:pPr>
              <w:spacing w:before="60" w:line="228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</w:pPr>
            <w:r w:rsidRPr="001A06A5"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  <w:t>Національна поліція</w:t>
            </w:r>
          </w:p>
          <w:p w:rsidR="001A06A5" w:rsidRPr="001A06A5" w:rsidRDefault="001A06A5" w:rsidP="001A06A5">
            <w:pPr>
              <w:spacing w:before="60" w:line="228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</w:pPr>
            <w:r w:rsidRPr="001A06A5"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  <w:t>СБУ (за згодою)</w:t>
            </w:r>
          </w:p>
          <w:p w:rsidR="001A06A5" w:rsidRPr="001A06A5" w:rsidRDefault="001A06A5" w:rsidP="001A06A5">
            <w:pPr>
              <w:spacing w:before="60" w:line="228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</w:pPr>
            <w:r w:rsidRPr="001A06A5"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  <w:t>Держфінмоніто-ринг</w:t>
            </w:r>
          </w:p>
          <w:p w:rsidR="00E02732" w:rsidRDefault="001A06A5" w:rsidP="001A06A5">
            <w:pPr>
              <w:spacing w:before="60" w:line="228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</w:pPr>
            <w:r w:rsidRPr="001A06A5"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  <w:t>Мінфін</w:t>
            </w:r>
          </w:p>
        </w:tc>
        <w:tc>
          <w:tcPr>
            <w:tcW w:w="1701" w:type="dxa"/>
            <w:hideMark/>
          </w:tcPr>
          <w:p w:rsidR="00E02732" w:rsidRPr="009F18FB" w:rsidRDefault="00E02732" w:rsidP="00463CEA">
            <w:pPr>
              <w:spacing w:before="60" w:line="228" w:lineRule="auto"/>
              <w:jc w:val="center"/>
              <w:rPr>
                <w:rFonts w:ascii="Times New Roman" w:eastAsia="Calibri" w:hAnsi="Times New Roman" w:cs="Times New Roman"/>
                <w:noProof/>
                <w:lang w:val="en-AU" w:eastAsia="uk-UA" w:bidi="uk-UA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  <w:t>Юридичне управління</w:t>
            </w:r>
          </w:p>
        </w:tc>
        <w:tc>
          <w:tcPr>
            <w:tcW w:w="1417" w:type="dxa"/>
            <w:hideMark/>
          </w:tcPr>
          <w:p w:rsidR="00E02732" w:rsidRPr="009F18FB" w:rsidRDefault="00E02732" w:rsidP="00993B46">
            <w:pPr>
              <w:spacing w:before="60" w:line="228" w:lineRule="auto"/>
              <w:rPr>
                <w:rFonts w:ascii="Times New Roman" w:eastAsia="Calibri" w:hAnsi="Times New Roman" w:cs="Times New Roman"/>
                <w:noProof/>
                <w:lang w:val="en-A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bCs/>
                <w:noProof/>
                <w:lang w:val="en-AU" w:bidi="uk-UA"/>
              </w:rPr>
              <w:t>державний бюджет</w:t>
            </w:r>
          </w:p>
        </w:tc>
        <w:tc>
          <w:tcPr>
            <w:tcW w:w="1985" w:type="dxa"/>
            <w:hideMark/>
          </w:tcPr>
          <w:p w:rsidR="00E02732" w:rsidRPr="009F18FB" w:rsidRDefault="00E02732" w:rsidP="00993B46">
            <w:pPr>
              <w:spacing w:before="60" w:line="228" w:lineRule="auto"/>
              <w:rPr>
                <w:rFonts w:ascii="Times New Roman" w:eastAsia="Calibri" w:hAnsi="Times New Roman" w:cs="Times New Roman"/>
                <w:noProof/>
                <w:lang w:val="ru-R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bCs/>
                <w:noProof/>
                <w:lang w:val="ru-RU" w:bidi="uk-UA"/>
              </w:rPr>
              <w:t>у межах встановлених бюджетних призначень на відповідний рік</w:t>
            </w:r>
          </w:p>
        </w:tc>
        <w:tc>
          <w:tcPr>
            <w:tcW w:w="2409" w:type="dxa"/>
            <w:hideMark/>
          </w:tcPr>
          <w:p w:rsidR="00E02732" w:rsidRPr="009F18FB" w:rsidRDefault="00E02732" w:rsidP="00D828A5">
            <w:pPr>
              <w:spacing w:before="60" w:line="228" w:lineRule="auto"/>
              <w:jc w:val="both"/>
              <w:rPr>
                <w:rFonts w:ascii="Times New Roman" w:eastAsia="Calibri" w:hAnsi="Times New Roman" w:cs="Times New Roman"/>
                <w:noProof/>
                <w:lang w:val="ru-R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noProof/>
                <w:lang w:val="ru-RU"/>
              </w:rPr>
              <w:t>проект закону подано до Верховної Ради України</w:t>
            </w:r>
          </w:p>
        </w:tc>
      </w:tr>
      <w:tr w:rsidR="00E02732" w:rsidRPr="009F18FB" w:rsidTr="00C6699C">
        <w:trPr>
          <w:trHeight w:val="230"/>
        </w:trPr>
        <w:tc>
          <w:tcPr>
            <w:tcW w:w="3397" w:type="dxa"/>
            <w:hideMark/>
          </w:tcPr>
          <w:p w:rsidR="00E02732" w:rsidRPr="009F18FB" w:rsidRDefault="00E02732" w:rsidP="00993B46">
            <w:pPr>
              <w:spacing w:before="60"/>
              <w:rPr>
                <w:rFonts w:ascii="Times New Roman" w:eastAsia="Calibri" w:hAnsi="Times New Roman" w:cs="Times New Roman"/>
                <w:noProof/>
                <w:lang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b/>
                <w:noProof/>
                <w:lang w:bidi="uk-UA"/>
              </w:rPr>
              <w:t>3.3.3.11.7.</w:t>
            </w:r>
            <w:r w:rsidRPr="009F18FB">
              <w:rPr>
                <w:rFonts w:ascii="Times New Roman" w:eastAsia="Calibri" w:hAnsi="Times New Roman" w:cs="Times New Roman"/>
                <w:noProof/>
                <w:lang w:bidi="uk-UA"/>
              </w:rPr>
              <w:t xml:space="preserve"> Підготовка та проведення чергової </w:t>
            </w:r>
            <w:r w:rsidRPr="009F18FB">
              <w:rPr>
                <w:rFonts w:ascii="Times New Roman" w:eastAsia="Calibri" w:hAnsi="Times New Roman" w:cs="Times New Roman"/>
                <w:noProof/>
                <w:lang w:bidi="uk-UA"/>
              </w:rPr>
              <w:lastRenderedPageBreak/>
              <w:t>національної оцінки ризиків відповідно до оновленої Методики національної оцінки ризиків відмивання коштів та фінансування тероризму в Україні</w:t>
            </w:r>
          </w:p>
        </w:tc>
        <w:tc>
          <w:tcPr>
            <w:tcW w:w="1134" w:type="dxa"/>
            <w:hideMark/>
          </w:tcPr>
          <w:p w:rsidR="00E02732" w:rsidRPr="009F18FB" w:rsidRDefault="00E02732" w:rsidP="00993B46">
            <w:pPr>
              <w:spacing w:before="60"/>
              <w:rPr>
                <w:rFonts w:ascii="Times New Roman" w:eastAsia="Calibri" w:hAnsi="Times New Roman" w:cs="Times New Roman"/>
                <w:noProof/>
                <w:lang w:val="en-A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noProof/>
                <w:lang w:val="en-AU" w:bidi="uk-UA"/>
              </w:rPr>
              <w:lastRenderedPageBreak/>
              <w:t>січень</w:t>
            </w:r>
            <w:r w:rsidRPr="009F18FB">
              <w:rPr>
                <w:rFonts w:ascii="Times New Roman" w:eastAsia="Calibri" w:hAnsi="Times New Roman" w:cs="Times New Roman"/>
                <w:noProof/>
                <w:lang w:val="en-AU" w:bidi="uk-UA"/>
              </w:rPr>
              <w:br/>
              <w:t>2025 р.</w:t>
            </w:r>
          </w:p>
        </w:tc>
        <w:tc>
          <w:tcPr>
            <w:tcW w:w="1276" w:type="dxa"/>
            <w:hideMark/>
          </w:tcPr>
          <w:p w:rsidR="00E02732" w:rsidRPr="009F18FB" w:rsidRDefault="00E02732" w:rsidP="00993B46">
            <w:pPr>
              <w:spacing w:before="60"/>
              <w:rPr>
                <w:rFonts w:ascii="Times New Roman" w:eastAsia="Calibri" w:hAnsi="Times New Roman" w:cs="Times New Roman"/>
                <w:noProof/>
                <w:lang w:val="en-A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noProof/>
                <w:lang w:val="en-AU" w:bidi="uk-UA"/>
              </w:rPr>
              <w:t>листопад</w:t>
            </w:r>
            <w:r w:rsidRPr="009F18FB">
              <w:rPr>
                <w:rFonts w:ascii="Times New Roman" w:eastAsia="Calibri" w:hAnsi="Times New Roman" w:cs="Times New Roman"/>
                <w:noProof/>
                <w:lang w:val="en-AU" w:bidi="uk-UA"/>
              </w:rPr>
              <w:br/>
              <w:t>2025 р.</w:t>
            </w:r>
          </w:p>
        </w:tc>
        <w:tc>
          <w:tcPr>
            <w:tcW w:w="1985" w:type="dxa"/>
          </w:tcPr>
          <w:p w:rsidR="001A06A5" w:rsidRPr="001A06A5" w:rsidRDefault="001A06A5" w:rsidP="001A06A5">
            <w:pPr>
              <w:spacing w:before="60"/>
              <w:jc w:val="center"/>
              <w:rPr>
                <w:rFonts w:ascii="Times New Roman" w:eastAsia="Calibri" w:hAnsi="Times New Roman" w:cs="Times New Roman"/>
                <w:noProof/>
                <w:lang w:bidi="uk-UA"/>
              </w:rPr>
            </w:pPr>
            <w:r w:rsidRPr="001A06A5">
              <w:rPr>
                <w:rFonts w:ascii="Times New Roman" w:eastAsia="Calibri" w:hAnsi="Times New Roman" w:cs="Times New Roman"/>
                <w:noProof/>
                <w:lang w:bidi="uk-UA"/>
              </w:rPr>
              <w:t>Держфінмоніто-ринг</w:t>
            </w:r>
          </w:p>
          <w:p w:rsidR="00E02732" w:rsidRDefault="001A06A5" w:rsidP="001A06A5">
            <w:pPr>
              <w:spacing w:before="60"/>
              <w:jc w:val="center"/>
              <w:rPr>
                <w:rFonts w:ascii="Times New Roman" w:eastAsia="Calibri" w:hAnsi="Times New Roman" w:cs="Times New Roman"/>
                <w:noProof/>
                <w:lang w:bidi="uk-UA"/>
              </w:rPr>
            </w:pPr>
            <w:r w:rsidRPr="001A06A5">
              <w:rPr>
                <w:rFonts w:ascii="Times New Roman" w:eastAsia="Calibri" w:hAnsi="Times New Roman" w:cs="Times New Roman"/>
                <w:noProof/>
                <w:lang w:bidi="uk-UA"/>
              </w:rPr>
              <w:lastRenderedPageBreak/>
              <w:t>Рада з питань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</w:t>
            </w:r>
          </w:p>
        </w:tc>
        <w:tc>
          <w:tcPr>
            <w:tcW w:w="1701" w:type="dxa"/>
            <w:hideMark/>
          </w:tcPr>
          <w:p w:rsidR="00E02732" w:rsidRPr="001B46CB" w:rsidRDefault="00E02732" w:rsidP="00463CEA">
            <w:pPr>
              <w:spacing w:before="60"/>
              <w:jc w:val="center"/>
              <w:rPr>
                <w:rFonts w:ascii="Times New Roman" w:eastAsia="Calibri" w:hAnsi="Times New Roman" w:cs="Times New Roman"/>
                <w:noProof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noProof/>
                <w:lang w:bidi="uk-UA"/>
              </w:rPr>
              <w:lastRenderedPageBreak/>
              <w:t xml:space="preserve">Департамент координації </w:t>
            </w:r>
            <w:r>
              <w:rPr>
                <w:rFonts w:ascii="Times New Roman" w:eastAsia="Calibri" w:hAnsi="Times New Roman" w:cs="Times New Roman"/>
                <w:noProof/>
                <w:lang w:bidi="uk-UA"/>
              </w:rPr>
              <w:lastRenderedPageBreak/>
              <w:t>системи фінансового моніторингу</w:t>
            </w:r>
          </w:p>
        </w:tc>
        <w:tc>
          <w:tcPr>
            <w:tcW w:w="1417" w:type="dxa"/>
            <w:hideMark/>
          </w:tcPr>
          <w:p w:rsidR="00E02732" w:rsidRPr="009F18FB" w:rsidRDefault="00E02732" w:rsidP="00993B46">
            <w:pPr>
              <w:spacing w:before="60"/>
              <w:rPr>
                <w:rFonts w:ascii="Times New Roman" w:eastAsia="Calibri" w:hAnsi="Times New Roman" w:cs="Times New Roman"/>
                <w:noProof/>
                <w:lang w:val="en-A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bCs/>
                <w:noProof/>
                <w:lang w:val="en-AU" w:bidi="uk-UA"/>
              </w:rPr>
              <w:lastRenderedPageBreak/>
              <w:t>державний бюджет</w:t>
            </w:r>
          </w:p>
        </w:tc>
        <w:tc>
          <w:tcPr>
            <w:tcW w:w="1985" w:type="dxa"/>
            <w:hideMark/>
          </w:tcPr>
          <w:p w:rsidR="00E02732" w:rsidRPr="009F18FB" w:rsidRDefault="00E02732" w:rsidP="00993B46">
            <w:pPr>
              <w:spacing w:before="60"/>
              <w:rPr>
                <w:rFonts w:ascii="Times New Roman" w:eastAsia="Calibri" w:hAnsi="Times New Roman" w:cs="Times New Roman"/>
                <w:noProof/>
                <w:lang w:val="ru-R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noProof/>
                <w:lang w:val="ru-RU" w:bidi="uk-UA"/>
              </w:rPr>
              <w:t xml:space="preserve">у межах встановлених </w:t>
            </w:r>
            <w:r w:rsidRPr="009F18FB">
              <w:rPr>
                <w:rFonts w:ascii="Times New Roman" w:eastAsia="Calibri" w:hAnsi="Times New Roman" w:cs="Times New Roman"/>
                <w:noProof/>
                <w:lang w:val="ru-RU" w:bidi="uk-UA"/>
              </w:rPr>
              <w:lastRenderedPageBreak/>
              <w:t>бюджетних призначень на відповідний рік</w:t>
            </w:r>
          </w:p>
        </w:tc>
        <w:tc>
          <w:tcPr>
            <w:tcW w:w="2409" w:type="dxa"/>
            <w:hideMark/>
          </w:tcPr>
          <w:p w:rsidR="00E02732" w:rsidRPr="00F2679A" w:rsidRDefault="00E02732" w:rsidP="00D828A5">
            <w:pPr>
              <w:spacing w:before="60"/>
              <w:jc w:val="both"/>
              <w:rPr>
                <w:rFonts w:ascii="Times New Roman" w:eastAsia="Calibri" w:hAnsi="Times New Roman" w:cs="Times New Roman"/>
                <w:noProof/>
                <w:lang w:val="ru-R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noProof/>
                <w:lang w:val="ru-RU" w:bidi="uk-UA"/>
              </w:rPr>
              <w:lastRenderedPageBreak/>
              <w:t xml:space="preserve">звіт за результатами чергової національної </w:t>
            </w:r>
            <w:r w:rsidRPr="009F18FB">
              <w:rPr>
                <w:rFonts w:ascii="Times New Roman" w:eastAsia="Calibri" w:hAnsi="Times New Roman" w:cs="Times New Roman"/>
                <w:noProof/>
                <w:lang w:val="ru-RU" w:bidi="uk-UA"/>
              </w:rPr>
              <w:lastRenderedPageBreak/>
              <w:t>оцінки ризиків підготовлено</w:t>
            </w:r>
          </w:p>
        </w:tc>
      </w:tr>
      <w:tr w:rsidR="00E02732" w:rsidRPr="009F18FB" w:rsidTr="00C6699C">
        <w:trPr>
          <w:trHeight w:val="230"/>
        </w:trPr>
        <w:tc>
          <w:tcPr>
            <w:tcW w:w="3397" w:type="dxa"/>
            <w:hideMark/>
          </w:tcPr>
          <w:p w:rsidR="00E02732" w:rsidRPr="009F18FB" w:rsidRDefault="00E02732" w:rsidP="00993B46">
            <w:pPr>
              <w:spacing w:before="60"/>
              <w:rPr>
                <w:rFonts w:ascii="Times New Roman" w:eastAsia="Calibri" w:hAnsi="Times New Roman" w:cs="Times New Roman"/>
                <w:noProof/>
                <w:lang w:val="ru-R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b/>
                <w:noProof/>
                <w:lang w:val="ru-RU" w:bidi="uk-UA"/>
              </w:rPr>
              <w:lastRenderedPageBreak/>
              <w:t>3.3.3.11.8.</w:t>
            </w:r>
            <w:r w:rsidRPr="009F18FB">
              <w:rPr>
                <w:rFonts w:ascii="Times New Roman" w:eastAsia="Calibri" w:hAnsi="Times New Roman" w:cs="Times New Roman"/>
                <w:noProof/>
                <w:lang w:val="ru-RU" w:bidi="uk-UA"/>
              </w:rPr>
              <w:t xml:space="preserve"> Затвердження звіту за результатами чергової національної оцінки ризиків відмивання коштів та фінансування тероризму в Україні</w:t>
            </w:r>
          </w:p>
        </w:tc>
        <w:tc>
          <w:tcPr>
            <w:tcW w:w="1134" w:type="dxa"/>
            <w:hideMark/>
          </w:tcPr>
          <w:p w:rsidR="00E02732" w:rsidRPr="009F18FB" w:rsidRDefault="00E02732" w:rsidP="00993B46">
            <w:pPr>
              <w:spacing w:before="60"/>
              <w:rPr>
                <w:rFonts w:ascii="Times New Roman" w:eastAsia="Calibri" w:hAnsi="Times New Roman" w:cs="Times New Roman"/>
                <w:noProof/>
                <w:lang w:val="en-A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noProof/>
                <w:lang w:val="en-AU" w:bidi="uk-UA"/>
              </w:rPr>
              <w:t>грудень</w:t>
            </w:r>
            <w:r w:rsidRPr="009F18FB">
              <w:rPr>
                <w:rFonts w:ascii="Times New Roman" w:eastAsia="Calibri" w:hAnsi="Times New Roman" w:cs="Times New Roman"/>
                <w:noProof/>
                <w:lang w:val="en-AU" w:bidi="uk-UA"/>
              </w:rPr>
              <w:br/>
              <w:t>2025 р.</w:t>
            </w:r>
          </w:p>
        </w:tc>
        <w:tc>
          <w:tcPr>
            <w:tcW w:w="1276" w:type="dxa"/>
            <w:hideMark/>
          </w:tcPr>
          <w:p w:rsidR="00E02732" w:rsidRPr="009F18FB" w:rsidRDefault="00E02732" w:rsidP="00993B46">
            <w:pPr>
              <w:spacing w:before="60"/>
              <w:rPr>
                <w:rFonts w:ascii="Times New Roman" w:eastAsia="Calibri" w:hAnsi="Times New Roman" w:cs="Times New Roman"/>
                <w:noProof/>
                <w:lang w:val="en-A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noProof/>
                <w:lang w:val="en-AU" w:bidi="uk-UA"/>
              </w:rPr>
              <w:t>грудень</w:t>
            </w:r>
            <w:r w:rsidRPr="009F18FB">
              <w:rPr>
                <w:rFonts w:ascii="Times New Roman" w:eastAsia="Calibri" w:hAnsi="Times New Roman" w:cs="Times New Roman"/>
                <w:noProof/>
                <w:lang w:val="en-AU" w:bidi="uk-UA"/>
              </w:rPr>
              <w:br/>
              <w:t>2025 р.</w:t>
            </w:r>
          </w:p>
        </w:tc>
        <w:tc>
          <w:tcPr>
            <w:tcW w:w="1985" w:type="dxa"/>
          </w:tcPr>
          <w:p w:rsidR="001A06A5" w:rsidRPr="001A06A5" w:rsidRDefault="001A06A5" w:rsidP="001A06A5">
            <w:pPr>
              <w:spacing w:before="60"/>
              <w:jc w:val="center"/>
              <w:rPr>
                <w:rFonts w:ascii="Times New Roman" w:eastAsia="Calibri" w:hAnsi="Times New Roman" w:cs="Times New Roman"/>
                <w:noProof/>
                <w:lang w:bidi="uk-UA"/>
              </w:rPr>
            </w:pPr>
            <w:r w:rsidRPr="001A06A5">
              <w:rPr>
                <w:rFonts w:ascii="Times New Roman" w:eastAsia="Calibri" w:hAnsi="Times New Roman" w:cs="Times New Roman"/>
                <w:noProof/>
                <w:lang w:bidi="uk-UA"/>
              </w:rPr>
              <w:t xml:space="preserve">Рада з питань запобігання та </w:t>
            </w:r>
            <w:bookmarkStart w:id="0" w:name="_GoBack"/>
            <w:bookmarkEnd w:id="0"/>
            <w:r w:rsidRPr="001A06A5">
              <w:rPr>
                <w:rFonts w:ascii="Times New Roman" w:eastAsia="Calibri" w:hAnsi="Times New Roman" w:cs="Times New Roman"/>
                <w:noProof/>
                <w:lang w:bidi="uk-UA"/>
              </w:rPr>
              <w:t>протидії легалізації (відмиванню) доходів, одержаних злочинним шляхом, фінансуванню тероризму та фінансуванню розповсюдження зброї масового знищення</w:t>
            </w:r>
          </w:p>
          <w:p w:rsidR="00E02732" w:rsidRDefault="001A06A5" w:rsidP="001A06A5">
            <w:pPr>
              <w:spacing w:before="60"/>
              <w:jc w:val="center"/>
              <w:rPr>
                <w:rFonts w:ascii="Times New Roman" w:eastAsia="Calibri" w:hAnsi="Times New Roman" w:cs="Times New Roman"/>
                <w:noProof/>
                <w:lang w:bidi="uk-UA"/>
              </w:rPr>
            </w:pPr>
            <w:r w:rsidRPr="001A06A5">
              <w:rPr>
                <w:rFonts w:ascii="Times New Roman" w:eastAsia="Calibri" w:hAnsi="Times New Roman" w:cs="Times New Roman"/>
                <w:noProof/>
                <w:lang w:bidi="uk-UA"/>
              </w:rPr>
              <w:t>Держфінмоніто-ринг</w:t>
            </w:r>
          </w:p>
        </w:tc>
        <w:tc>
          <w:tcPr>
            <w:tcW w:w="1701" w:type="dxa"/>
            <w:hideMark/>
          </w:tcPr>
          <w:p w:rsidR="00E02732" w:rsidRPr="001B46CB" w:rsidRDefault="00E02732" w:rsidP="00463CEA">
            <w:pPr>
              <w:spacing w:before="60"/>
              <w:jc w:val="center"/>
              <w:rPr>
                <w:rFonts w:ascii="Times New Roman" w:eastAsia="Calibri" w:hAnsi="Times New Roman" w:cs="Times New Roman"/>
                <w:noProof/>
                <w:lang w:val="ru-RU" w:eastAsia="uk-UA" w:bidi="uk-UA"/>
              </w:rPr>
            </w:pPr>
            <w:r>
              <w:rPr>
                <w:rFonts w:ascii="Times New Roman" w:eastAsia="Calibri" w:hAnsi="Times New Roman" w:cs="Times New Roman"/>
                <w:noProof/>
                <w:lang w:bidi="uk-UA"/>
              </w:rPr>
              <w:t>Департамент координації системи фінансового моніторингу</w:t>
            </w:r>
          </w:p>
        </w:tc>
        <w:tc>
          <w:tcPr>
            <w:tcW w:w="1417" w:type="dxa"/>
            <w:hideMark/>
          </w:tcPr>
          <w:p w:rsidR="00E02732" w:rsidRPr="009F18FB" w:rsidRDefault="00E02732" w:rsidP="00993B46">
            <w:pPr>
              <w:spacing w:before="60"/>
              <w:rPr>
                <w:rFonts w:ascii="Times New Roman" w:eastAsia="Calibri" w:hAnsi="Times New Roman" w:cs="Times New Roman"/>
                <w:noProof/>
                <w:lang w:val="en-A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bCs/>
                <w:noProof/>
                <w:lang w:val="en-AU" w:bidi="uk-UA"/>
              </w:rPr>
              <w:t>державний бюджет</w:t>
            </w:r>
          </w:p>
        </w:tc>
        <w:tc>
          <w:tcPr>
            <w:tcW w:w="1985" w:type="dxa"/>
            <w:hideMark/>
          </w:tcPr>
          <w:p w:rsidR="00E02732" w:rsidRPr="009F18FB" w:rsidRDefault="00E02732" w:rsidP="00993B46">
            <w:pPr>
              <w:spacing w:before="60"/>
              <w:rPr>
                <w:rFonts w:ascii="Times New Roman" w:eastAsia="Calibri" w:hAnsi="Times New Roman" w:cs="Times New Roman"/>
                <w:noProof/>
                <w:lang w:val="ru-RU" w:eastAsia="uk-UA" w:bidi="uk-UA"/>
              </w:rPr>
            </w:pPr>
            <w:r w:rsidRPr="009F18FB">
              <w:rPr>
                <w:rFonts w:ascii="Times New Roman" w:eastAsia="Calibri" w:hAnsi="Times New Roman" w:cs="Times New Roman"/>
                <w:noProof/>
                <w:lang w:val="ru-RU" w:bidi="uk-UA"/>
              </w:rPr>
              <w:t>у межах встановлених бюджетних призначень на відповідний рік</w:t>
            </w:r>
          </w:p>
        </w:tc>
        <w:tc>
          <w:tcPr>
            <w:tcW w:w="2409" w:type="dxa"/>
            <w:hideMark/>
          </w:tcPr>
          <w:p w:rsidR="00E02732" w:rsidRPr="009F18FB" w:rsidRDefault="00E02732" w:rsidP="00463CEA">
            <w:pPr>
              <w:spacing w:before="60"/>
              <w:jc w:val="both"/>
              <w:rPr>
                <w:rFonts w:ascii="Times New Roman" w:eastAsia="Calibri" w:hAnsi="Times New Roman" w:cs="Times New Roman"/>
                <w:noProof/>
                <w:lang w:val="ru-RU" w:eastAsia="uk-UA" w:bidi="uk-UA"/>
              </w:rPr>
            </w:pPr>
            <w:r w:rsidRPr="001B46CB">
              <w:rPr>
                <w:rFonts w:ascii="Times New Roman" w:eastAsia="Calibri" w:hAnsi="Times New Roman" w:cs="Times New Roman"/>
                <w:noProof/>
                <w:lang w:val="ru-RU" w:eastAsia="uk-UA" w:bidi="uk-UA"/>
              </w:rPr>
              <w:t>звіт за результатами чергової національної оцінки ризиків затверджено та оприлюднено висновки звіту</w:t>
            </w:r>
          </w:p>
        </w:tc>
      </w:tr>
    </w:tbl>
    <w:p w:rsidR="00735BC3" w:rsidRPr="009F18FB" w:rsidRDefault="00735BC3">
      <w:pPr>
        <w:rPr>
          <w:rFonts w:ascii="Times New Roman" w:hAnsi="Times New Roman" w:cs="Times New Roman"/>
          <w:lang w:val="ru-RU"/>
        </w:rPr>
      </w:pPr>
    </w:p>
    <w:sectPr w:rsidR="00735BC3" w:rsidRPr="009F18FB" w:rsidSect="00B111C0">
      <w:headerReference w:type="default" r:id="rId7"/>
      <w:pgSz w:w="16838" w:h="11906" w:orient="landscape"/>
      <w:pgMar w:top="709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BB" w:rsidRDefault="003135BB" w:rsidP="000D5DE9">
      <w:pPr>
        <w:spacing w:after="0" w:line="240" w:lineRule="auto"/>
      </w:pPr>
      <w:r>
        <w:separator/>
      </w:r>
    </w:p>
  </w:endnote>
  <w:endnote w:type="continuationSeparator" w:id="0">
    <w:p w:rsidR="003135BB" w:rsidRDefault="003135BB" w:rsidP="000D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BB" w:rsidRDefault="003135BB" w:rsidP="000D5DE9">
      <w:pPr>
        <w:spacing w:after="0" w:line="240" w:lineRule="auto"/>
      </w:pPr>
      <w:r>
        <w:separator/>
      </w:r>
    </w:p>
  </w:footnote>
  <w:footnote w:type="continuationSeparator" w:id="0">
    <w:p w:rsidR="003135BB" w:rsidRDefault="003135BB" w:rsidP="000D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905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5DE9" w:rsidRPr="000D5DE9" w:rsidRDefault="000D5DE9">
        <w:pPr>
          <w:pStyle w:val="a4"/>
          <w:jc w:val="right"/>
          <w:rPr>
            <w:rFonts w:ascii="Times New Roman" w:hAnsi="Times New Roman" w:cs="Times New Roman"/>
          </w:rPr>
        </w:pPr>
        <w:r w:rsidRPr="000D5DE9">
          <w:rPr>
            <w:rFonts w:ascii="Times New Roman" w:hAnsi="Times New Roman" w:cs="Times New Roman"/>
          </w:rPr>
          <w:fldChar w:fldCharType="begin"/>
        </w:r>
        <w:r w:rsidRPr="000D5DE9">
          <w:rPr>
            <w:rFonts w:ascii="Times New Roman" w:hAnsi="Times New Roman" w:cs="Times New Roman"/>
          </w:rPr>
          <w:instrText>PAGE   \* MERGEFORMAT</w:instrText>
        </w:r>
        <w:r w:rsidRPr="000D5DE9">
          <w:rPr>
            <w:rFonts w:ascii="Times New Roman" w:hAnsi="Times New Roman" w:cs="Times New Roman"/>
          </w:rPr>
          <w:fldChar w:fldCharType="separate"/>
        </w:r>
        <w:r w:rsidR="00C6699C">
          <w:rPr>
            <w:rFonts w:ascii="Times New Roman" w:hAnsi="Times New Roman" w:cs="Times New Roman"/>
            <w:noProof/>
          </w:rPr>
          <w:t>4</w:t>
        </w:r>
        <w:r w:rsidRPr="000D5DE9">
          <w:rPr>
            <w:rFonts w:ascii="Times New Roman" w:hAnsi="Times New Roman" w:cs="Times New Roman"/>
          </w:rPr>
          <w:fldChar w:fldCharType="end"/>
        </w:r>
      </w:p>
    </w:sdtContent>
  </w:sdt>
  <w:p w:rsidR="000D5DE9" w:rsidRDefault="000D5D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88"/>
    <w:rsid w:val="00016E41"/>
    <w:rsid w:val="000D5DE9"/>
    <w:rsid w:val="001A06A5"/>
    <w:rsid w:val="001B46CB"/>
    <w:rsid w:val="002D663C"/>
    <w:rsid w:val="002F2430"/>
    <w:rsid w:val="003135BB"/>
    <w:rsid w:val="003972B5"/>
    <w:rsid w:val="00463CEA"/>
    <w:rsid w:val="004D0270"/>
    <w:rsid w:val="005A335E"/>
    <w:rsid w:val="00735BC3"/>
    <w:rsid w:val="009F18FB"/>
    <w:rsid w:val="00A17688"/>
    <w:rsid w:val="00A74CC9"/>
    <w:rsid w:val="00B111C0"/>
    <w:rsid w:val="00C6699C"/>
    <w:rsid w:val="00D60B11"/>
    <w:rsid w:val="00D828A5"/>
    <w:rsid w:val="00DC6D3D"/>
    <w:rsid w:val="00E02732"/>
    <w:rsid w:val="00E17136"/>
    <w:rsid w:val="00E474DC"/>
    <w:rsid w:val="00E57ECA"/>
    <w:rsid w:val="00F0737B"/>
    <w:rsid w:val="00F2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8C982-44C5-4EA1-8B67-171449C1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D5DE9"/>
  </w:style>
  <w:style w:type="paragraph" w:styleId="a6">
    <w:name w:val="footer"/>
    <w:basedOn w:val="a"/>
    <w:link w:val="a7"/>
    <w:uiPriority w:val="99"/>
    <w:unhideWhenUsed/>
    <w:rsid w:val="000D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D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3CEE-17E5-4FCA-ABE2-7D94F9AB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3547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Михальчук Дарія Сергіївна</dc:creator>
  <cp:keywords/>
  <dc:description/>
  <cp:lastModifiedBy>Михальчук Дарія Сергіївна</cp:lastModifiedBy>
  <cp:revision>18</cp:revision>
  <dcterms:created xsi:type="dcterms:W3CDTF">2024-04-24T16:04:00Z</dcterms:created>
  <dcterms:modified xsi:type="dcterms:W3CDTF">2024-04-25T09:33:00Z</dcterms:modified>
</cp:coreProperties>
</file>